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5F" w:rsidRPr="00517B77" w:rsidRDefault="0019342C" w:rsidP="00877EBD">
      <w:pPr>
        <w:pStyle w:val="PlainText"/>
        <w:tabs>
          <w:tab w:val="left" w:pos="720"/>
        </w:tabs>
        <w:ind w:left="2835" w:right="29" w:hanging="2835"/>
        <w:rPr>
          <w:rFonts w:ascii="Arial" w:hAnsi="Arial"/>
          <w:b/>
          <w:smallCaps/>
          <w:sz w:val="24"/>
          <w:szCs w:val="24"/>
        </w:rPr>
      </w:pPr>
      <w:r>
        <w:rPr>
          <w:rFonts w:ascii="Arial" w:hAnsi="Arial"/>
          <w:b/>
          <w:sz w:val="24"/>
        </w:rPr>
        <w:t>#</w:t>
      </w:r>
      <w:r w:rsidR="003F165F">
        <w:rPr>
          <w:rFonts w:ascii="Arial" w:hAnsi="Arial"/>
          <w:b/>
          <w:sz w:val="24"/>
        </w:rPr>
        <w:t>.</w:t>
      </w:r>
      <w:r w:rsidR="003F165F">
        <w:rPr>
          <w:rFonts w:ascii="Arial" w:hAnsi="Arial"/>
          <w:b/>
          <w:sz w:val="24"/>
        </w:rPr>
        <w:tab/>
      </w:r>
      <w:r w:rsidR="00517B77">
        <w:rPr>
          <w:rFonts w:ascii="Arial" w:hAnsi="Arial"/>
          <w:b/>
          <w:smallCaps/>
          <w:sz w:val="24"/>
        </w:rPr>
        <w:t>Subject</w:t>
      </w:r>
      <w:r w:rsidR="003F165F">
        <w:rPr>
          <w:rFonts w:ascii="Arial" w:hAnsi="Arial"/>
          <w:b/>
          <w:sz w:val="24"/>
        </w:rPr>
        <w:t xml:space="preserve"> </w:t>
      </w:r>
      <w:r w:rsidR="003F165F">
        <w:rPr>
          <w:rFonts w:ascii="Arial" w:hAnsi="Arial"/>
          <w:b/>
          <w:sz w:val="24"/>
        </w:rPr>
        <w:tab/>
      </w:r>
      <w:r w:rsidR="00517B77">
        <w:rPr>
          <w:rFonts w:ascii="Arial" w:hAnsi="Arial"/>
          <w:b/>
          <w:smallCaps/>
          <w:sz w:val="24"/>
          <w:szCs w:val="24"/>
        </w:rPr>
        <w:t xml:space="preserve">Deniliquin Local Environmental Plan 2013 (Amendment No </w:t>
      </w:r>
      <w:r w:rsidR="00015AA0">
        <w:rPr>
          <w:rFonts w:ascii="Arial" w:hAnsi="Arial"/>
          <w:b/>
          <w:smallCaps/>
          <w:sz w:val="24"/>
          <w:szCs w:val="24"/>
        </w:rPr>
        <w:t>5</w:t>
      </w:r>
      <w:r w:rsidR="00517B77">
        <w:rPr>
          <w:rFonts w:ascii="Arial" w:hAnsi="Arial"/>
          <w:b/>
          <w:smallCaps/>
          <w:sz w:val="24"/>
          <w:szCs w:val="24"/>
        </w:rPr>
        <w:t>)</w:t>
      </w:r>
    </w:p>
    <w:p w:rsidR="003F165F" w:rsidRDefault="00517B77" w:rsidP="001C004B">
      <w:pPr>
        <w:pStyle w:val="Heading9"/>
        <w:tabs>
          <w:tab w:val="left" w:pos="2835"/>
        </w:tabs>
        <w:spacing w:before="300"/>
        <w:ind w:left="720" w:firstLine="0"/>
        <w:rPr>
          <w:b/>
          <w:i w:val="0"/>
        </w:rPr>
      </w:pPr>
      <w:r>
        <w:rPr>
          <w:b/>
          <w:i w:val="0"/>
          <w:smallCaps/>
        </w:rPr>
        <w:t>From</w:t>
      </w:r>
      <w:r w:rsidR="003F165F">
        <w:rPr>
          <w:b/>
          <w:i w:val="0"/>
        </w:rPr>
        <w:t>:</w:t>
      </w:r>
      <w:r w:rsidR="009834D9">
        <w:rPr>
          <w:b/>
          <w:i w:val="0"/>
        </w:rPr>
        <w:tab/>
      </w:r>
      <w:r>
        <w:rPr>
          <w:b/>
          <w:i w:val="0"/>
          <w:smallCaps/>
        </w:rPr>
        <w:t>Director Technical Services</w:t>
      </w:r>
    </w:p>
    <w:p w:rsidR="003F165F" w:rsidRPr="00FF5133" w:rsidRDefault="00FF5133" w:rsidP="00405C74">
      <w:pPr>
        <w:pStyle w:val="Heading9"/>
        <w:ind w:left="2835" w:firstLine="0"/>
        <w:rPr>
          <w:b/>
          <w:i w:val="0"/>
          <w:smallCaps/>
        </w:rPr>
      </w:pPr>
      <w:r>
        <w:rPr>
          <w:b/>
          <w:i w:val="0"/>
          <w:smallCaps/>
        </w:rPr>
        <w:t>Mark Dalzell</w:t>
      </w:r>
    </w:p>
    <w:p w:rsidR="008D1379" w:rsidRDefault="008D1379" w:rsidP="00027E61">
      <w:pPr>
        <w:pStyle w:val="PlainText"/>
        <w:spacing w:before="480"/>
        <w:ind w:left="720"/>
        <w:jc w:val="both"/>
        <w:rPr>
          <w:rFonts w:ascii="Arial" w:hAnsi="Arial"/>
          <w:b/>
          <w:smallCaps/>
          <w:sz w:val="24"/>
        </w:rPr>
      </w:pPr>
      <w:r>
        <w:rPr>
          <w:rFonts w:ascii="Arial" w:hAnsi="Arial"/>
          <w:b/>
          <w:smallCaps/>
          <w:sz w:val="24"/>
        </w:rPr>
        <w:t>Recommendation</w:t>
      </w:r>
      <w:r w:rsidR="006A36F9">
        <w:rPr>
          <w:rFonts w:ascii="Arial" w:hAnsi="Arial"/>
          <w:b/>
          <w:smallCaps/>
          <w:sz w:val="24"/>
        </w:rPr>
        <w:t>/s</w:t>
      </w:r>
      <w:r>
        <w:rPr>
          <w:rFonts w:ascii="Arial" w:hAnsi="Arial"/>
          <w:b/>
          <w:smallCaps/>
          <w:sz w:val="24"/>
        </w:rPr>
        <w:t>:</w:t>
      </w:r>
    </w:p>
    <w:p w:rsidR="00AB3D3D" w:rsidRDefault="00AB3D3D" w:rsidP="00AB3D3D">
      <w:pPr>
        <w:pStyle w:val="PlainText"/>
        <w:ind w:left="709"/>
        <w:jc w:val="both"/>
        <w:rPr>
          <w:rFonts w:ascii="Arial" w:hAnsi="Arial"/>
          <w:b/>
          <w:smallCaps/>
          <w:sz w:val="24"/>
        </w:rPr>
      </w:pPr>
    </w:p>
    <w:p w:rsidR="00AB3D3D" w:rsidRPr="00EC3981" w:rsidRDefault="00AB3D3D" w:rsidP="00AB3D3D">
      <w:pPr>
        <w:pStyle w:val="PlainText"/>
        <w:ind w:left="709"/>
        <w:jc w:val="both"/>
        <w:rPr>
          <w:rFonts w:ascii="Arial" w:hAnsi="Arial"/>
          <w:b/>
          <w:smallCaps/>
          <w:sz w:val="24"/>
        </w:rPr>
      </w:pPr>
      <w:r w:rsidRPr="00EC3981">
        <w:rPr>
          <w:rFonts w:ascii="Arial" w:hAnsi="Arial"/>
          <w:b/>
          <w:smallCaps/>
          <w:sz w:val="24"/>
        </w:rPr>
        <w:t>Division</w:t>
      </w:r>
    </w:p>
    <w:p w:rsidR="00AB3D3D" w:rsidRDefault="00AB3D3D" w:rsidP="00AB3D3D">
      <w:pPr>
        <w:pStyle w:val="PlainText"/>
        <w:ind w:left="709"/>
        <w:jc w:val="both"/>
        <w:rPr>
          <w:rFonts w:ascii="Arial" w:hAnsi="Arial"/>
          <w:sz w:val="24"/>
        </w:rPr>
      </w:pPr>
      <w:r w:rsidRPr="00B21234">
        <w:rPr>
          <w:rFonts w:ascii="Arial" w:hAnsi="Arial"/>
          <w:sz w:val="24"/>
        </w:rPr>
        <w:t>In accordance with the requirements of the Local Government Act, it is necessary for Council to call a division when voting of any resolution that involves making a planning decision.</w:t>
      </w:r>
    </w:p>
    <w:p w:rsidR="00AB3D3D" w:rsidRDefault="00AB3D3D" w:rsidP="00AB3D3D">
      <w:pPr>
        <w:pStyle w:val="PlainText"/>
        <w:ind w:left="720"/>
        <w:jc w:val="both"/>
        <w:rPr>
          <w:rFonts w:ascii="Arial" w:hAnsi="Arial"/>
          <w:b/>
          <w:smallCaps/>
          <w:sz w:val="24"/>
        </w:rPr>
      </w:pPr>
    </w:p>
    <w:p w:rsidR="009D6CF7" w:rsidRDefault="009D6CF7" w:rsidP="00AB3D3D">
      <w:pPr>
        <w:pStyle w:val="PlainText"/>
        <w:ind w:left="720"/>
        <w:jc w:val="both"/>
        <w:rPr>
          <w:rFonts w:ascii="Arial" w:hAnsi="Arial"/>
          <w:sz w:val="24"/>
        </w:rPr>
      </w:pPr>
      <w:r>
        <w:rPr>
          <w:rFonts w:ascii="Arial" w:hAnsi="Arial"/>
          <w:sz w:val="24"/>
        </w:rPr>
        <w:t>That Council:</w:t>
      </w:r>
    </w:p>
    <w:p w:rsidR="009D6CF7" w:rsidRPr="009D6CF7" w:rsidRDefault="009D6CF7" w:rsidP="00AB3D3D">
      <w:pPr>
        <w:pStyle w:val="PlainText"/>
        <w:ind w:left="720"/>
        <w:jc w:val="both"/>
        <w:rPr>
          <w:rFonts w:ascii="Arial" w:hAnsi="Arial"/>
          <w:sz w:val="24"/>
        </w:rPr>
      </w:pPr>
    </w:p>
    <w:p w:rsidR="003F1FF8" w:rsidRDefault="009D6CF7" w:rsidP="00881861">
      <w:pPr>
        <w:pStyle w:val="PlainText"/>
        <w:numPr>
          <w:ilvl w:val="0"/>
          <w:numId w:val="2"/>
        </w:numPr>
        <w:ind w:left="1560" w:hanging="840"/>
        <w:jc w:val="both"/>
        <w:rPr>
          <w:rFonts w:ascii="Arial" w:hAnsi="Arial"/>
          <w:sz w:val="24"/>
        </w:rPr>
      </w:pPr>
      <w:r>
        <w:rPr>
          <w:rFonts w:ascii="Arial" w:hAnsi="Arial"/>
          <w:sz w:val="24"/>
        </w:rPr>
        <w:t xml:space="preserve">In accordance with section 59(2) of the Environmental Planning and Assessment Act make the proposed Deniliquin Local Environmental Plan 2013 (Amendment </w:t>
      </w:r>
      <w:r w:rsidR="00015AA0">
        <w:rPr>
          <w:rFonts w:ascii="Arial" w:hAnsi="Arial"/>
          <w:sz w:val="24"/>
        </w:rPr>
        <w:t>5</w:t>
      </w:r>
      <w:r>
        <w:rPr>
          <w:rFonts w:ascii="Arial" w:hAnsi="Arial"/>
          <w:sz w:val="24"/>
        </w:rPr>
        <w:t>); and</w:t>
      </w:r>
    </w:p>
    <w:p w:rsidR="009D6CF7" w:rsidRPr="008D1379" w:rsidRDefault="009D6CF7" w:rsidP="00881861">
      <w:pPr>
        <w:pStyle w:val="PlainText"/>
        <w:numPr>
          <w:ilvl w:val="0"/>
          <w:numId w:val="2"/>
        </w:numPr>
        <w:ind w:left="1560" w:hanging="840"/>
        <w:jc w:val="both"/>
        <w:rPr>
          <w:rFonts w:ascii="Arial" w:hAnsi="Arial"/>
          <w:sz w:val="24"/>
        </w:rPr>
      </w:pPr>
      <w:r>
        <w:rPr>
          <w:rFonts w:ascii="Arial" w:hAnsi="Arial"/>
          <w:sz w:val="24"/>
        </w:rPr>
        <w:t xml:space="preserve">Upon signing of the proposed Deniliquin Local Environmental Plan 2013 (Amendment </w:t>
      </w:r>
      <w:r w:rsidR="00015AA0">
        <w:rPr>
          <w:rFonts w:ascii="Arial" w:hAnsi="Arial"/>
          <w:sz w:val="24"/>
        </w:rPr>
        <w:t>5</w:t>
      </w:r>
      <w:r>
        <w:rPr>
          <w:rFonts w:ascii="Arial" w:hAnsi="Arial"/>
          <w:sz w:val="24"/>
        </w:rPr>
        <w:t xml:space="preserve">) by Council’s delegate, that the Department of Planning and Environment be notified of </w:t>
      </w:r>
      <w:r w:rsidR="00FE6E5B">
        <w:rPr>
          <w:rFonts w:ascii="Arial" w:hAnsi="Arial"/>
          <w:sz w:val="24"/>
        </w:rPr>
        <w:t>Council’s</w:t>
      </w:r>
      <w:r>
        <w:rPr>
          <w:rFonts w:ascii="Arial" w:hAnsi="Arial"/>
          <w:sz w:val="24"/>
        </w:rPr>
        <w:t xml:space="preserve"> decision.</w:t>
      </w:r>
    </w:p>
    <w:p w:rsidR="003F165F" w:rsidRPr="00877EBD" w:rsidRDefault="003F165F" w:rsidP="008D1379">
      <w:pPr>
        <w:pStyle w:val="PlainText"/>
        <w:spacing w:before="360"/>
        <w:ind w:left="720"/>
        <w:jc w:val="both"/>
        <w:rPr>
          <w:rFonts w:ascii="Arial" w:hAnsi="Arial"/>
          <w:b/>
          <w:smallCaps/>
          <w:sz w:val="24"/>
        </w:rPr>
      </w:pPr>
      <w:r w:rsidRPr="00877EBD">
        <w:rPr>
          <w:rFonts w:ascii="Arial" w:hAnsi="Arial"/>
          <w:b/>
          <w:smallCaps/>
          <w:sz w:val="24"/>
        </w:rPr>
        <w:t>Background</w:t>
      </w:r>
      <w:r w:rsidR="008D1379">
        <w:rPr>
          <w:rFonts w:ascii="Arial" w:hAnsi="Arial"/>
          <w:b/>
          <w:smallCaps/>
          <w:sz w:val="24"/>
        </w:rPr>
        <w:t>:</w:t>
      </w:r>
    </w:p>
    <w:p w:rsidR="003F165F" w:rsidRDefault="00517B77" w:rsidP="00877EBD">
      <w:pPr>
        <w:pStyle w:val="PlainText"/>
        <w:spacing w:before="120"/>
        <w:ind w:left="720"/>
        <w:jc w:val="both"/>
        <w:rPr>
          <w:rFonts w:ascii="Arial" w:hAnsi="Arial"/>
          <w:sz w:val="24"/>
        </w:rPr>
      </w:pPr>
      <w:r>
        <w:rPr>
          <w:rFonts w:ascii="Arial" w:hAnsi="Arial"/>
          <w:sz w:val="24"/>
        </w:rPr>
        <w:t xml:space="preserve">At its meeting on </w:t>
      </w:r>
      <w:r w:rsidR="00015AA0">
        <w:rPr>
          <w:rFonts w:ascii="Arial" w:hAnsi="Arial"/>
          <w:sz w:val="24"/>
        </w:rPr>
        <w:t>28 October</w:t>
      </w:r>
      <w:r w:rsidR="00FE6E5B">
        <w:rPr>
          <w:rFonts w:ascii="Arial" w:hAnsi="Arial"/>
          <w:sz w:val="24"/>
        </w:rPr>
        <w:t xml:space="preserve"> 2015</w:t>
      </w:r>
      <w:r w:rsidR="00AB3D3D">
        <w:rPr>
          <w:rFonts w:ascii="Arial" w:hAnsi="Arial"/>
          <w:sz w:val="24"/>
        </w:rPr>
        <w:t>, Council resolved</w:t>
      </w:r>
      <w:r w:rsidR="008424FF">
        <w:rPr>
          <w:rFonts w:ascii="Arial" w:hAnsi="Arial"/>
          <w:sz w:val="24"/>
        </w:rPr>
        <w:t xml:space="preserve"> to</w:t>
      </w:r>
      <w:r w:rsidR="00AB3D3D">
        <w:rPr>
          <w:rFonts w:ascii="Arial" w:hAnsi="Arial"/>
          <w:sz w:val="24"/>
        </w:rPr>
        <w:t>:</w:t>
      </w:r>
    </w:p>
    <w:p w:rsidR="00015AA0" w:rsidRDefault="00015AA0" w:rsidP="00015AA0">
      <w:pPr>
        <w:pStyle w:val="PlainText"/>
        <w:spacing w:before="120"/>
        <w:ind w:left="1560" w:hanging="840"/>
        <w:jc w:val="both"/>
        <w:rPr>
          <w:rFonts w:ascii="Arial" w:hAnsi="Arial"/>
          <w:sz w:val="24"/>
        </w:rPr>
      </w:pPr>
      <w:r>
        <w:rPr>
          <w:rFonts w:ascii="Arial" w:hAnsi="Arial"/>
          <w:sz w:val="24"/>
        </w:rPr>
        <w:t>a</w:t>
      </w:r>
      <w:r>
        <w:rPr>
          <w:rFonts w:ascii="Arial" w:hAnsi="Arial"/>
          <w:sz w:val="24"/>
        </w:rPr>
        <w:tab/>
        <w:t>Prepare a planning proposal to amend the Deniliquin Local Environmental Plan 2013 in accordance with section 55(1) of the Environmental Planning and Assessment Act 1979 to permit boundary adjustments between lots that are below the minimum lot size in the RU1 Primary Production, E3 Environmental Management and R5 Large Lot Residential zones.</w:t>
      </w:r>
    </w:p>
    <w:p w:rsidR="00015AA0" w:rsidRDefault="00015AA0" w:rsidP="00015AA0">
      <w:pPr>
        <w:pStyle w:val="PlainText"/>
        <w:spacing w:before="120"/>
        <w:ind w:left="1560" w:hanging="840"/>
        <w:jc w:val="both"/>
        <w:rPr>
          <w:rFonts w:ascii="Arial" w:hAnsi="Arial"/>
          <w:sz w:val="24"/>
        </w:rPr>
      </w:pPr>
      <w:proofErr w:type="gramStart"/>
      <w:r>
        <w:rPr>
          <w:rFonts w:ascii="Arial" w:hAnsi="Arial"/>
          <w:sz w:val="24"/>
        </w:rPr>
        <w:t>b</w:t>
      </w:r>
      <w:proofErr w:type="gramEnd"/>
      <w:r>
        <w:rPr>
          <w:rFonts w:ascii="Arial" w:hAnsi="Arial"/>
          <w:sz w:val="24"/>
        </w:rPr>
        <w:tab/>
        <w:t>Forward the planning proposal to the Minister for Planning and Infrastructure in accordance with section 56(1) of the Environmental Planning and Assessment Act 1979.</w:t>
      </w:r>
    </w:p>
    <w:p w:rsidR="00015AA0" w:rsidRPr="008D1379" w:rsidRDefault="00015AA0" w:rsidP="00015AA0">
      <w:pPr>
        <w:pStyle w:val="PlainText"/>
        <w:spacing w:before="120"/>
        <w:ind w:left="1560" w:hanging="851"/>
        <w:jc w:val="both"/>
        <w:rPr>
          <w:rFonts w:ascii="Arial" w:hAnsi="Arial"/>
          <w:sz w:val="24"/>
        </w:rPr>
      </w:pPr>
      <w:proofErr w:type="gramStart"/>
      <w:r>
        <w:rPr>
          <w:rFonts w:ascii="Arial" w:hAnsi="Arial"/>
          <w:sz w:val="24"/>
        </w:rPr>
        <w:t>c</w:t>
      </w:r>
      <w:proofErr w:type="gramEnd"/>
      <w:r>
        <w:rPr>
          <w:rFonts w:ascii="Arial" w:hAnsi="Arial"/>
          <w:sz w:val="24"/>
        </w:rPr>
        <w:tab/>
        <w:t>Request that the local planning making functions in relation to this planning proposal be delegated to Council.</w:t>
      </w:r>
    </w:p>
    <w:p w:rsidR="006C36DC" w:rsidRDefault="006C36DC" w:rsidP="006C36DC">
      <w:pPr>
        <w:pStyle w:val="PlainText"/>
        <w:spacing w:before="120"/>
        <w:ind w:left="709" w:firstLine="11"/>
        <w:jc w:val="both"/>
        <w:rPr>
          <w:rFonts w:ascii="Arial" w:hAnsi="Arial"/>
          <w:sz w:val="24"/>
        </w:rPr>
      </w:pPr>
      <w:r>
        <w:rPr>
          <w:rFonts w:ascii="Arial" w:hAnsi="Arial"/>
          <w:sz w:val="24"/>
        </w:rPr>
        <w:t>Council has now complied with the conditions of the gateway determination and the inst</w:t>
      </w:r>
      <w:r w:rsidR="00FC718F">
        <w:rPr>
          <w:rFonts w:ascii="Arial" w:hAnsi="Arial"/>
          <w:sz w:val="24"/>
        </w:rPr>
        <w:t>rument can be made.  Attachment</w:t>
      </w:r>
      <w:r>
        <w:rPr>
          <w:rFonts w:ascii="Arial" w:hAnsi="Arial"/>
          <w:sz w:val="24"/>
        </w:rPr>
        <w:t xml:space="preserve"> 1 is a c</w:t>
      </w:r>
      <w:r w:rsidR="00FC718F">
        <w:rPr>
          <w:rFonts w:ascii="Arial" w:hAnsi="Arial"/>
          <w:sz w:val="24"/>
        </w:rPr>
        <w:t xml:space="preserve">opy of the amending instrument </w:t>
      </w:r>
      <w:r w:rsidR="00BB0969">
        <w:rPr>
          <w:rFonts w:ascii="Arial" w:hAnsi="Arial"/>
          <w:sz w:val="24"/>
        </w:rPr>
        <w:t>and the Parliamentary Counsel’s opinion stating that the instrument can be made.</w:t>
      </w:r>
      <w:r>
        <w:rPr>
          <w:rFonts w:ascii="Arial" w:hAnsi="Arial"/>
          <w:sz w:val="24"/>
        </w:rPr>
        <w:t xml:space="preserve"> </w:t>
      </w:r>
      <w:r w:rsidR="00B51879">
        <w:rPr>
          <w:rFonts w:ascii="Arial" w:hAnsi="Arial"/>
          <w:sz w:val="24"/>
        </w:rPr>
        <w:t xml:space="preserve"> </w:t>
      </w:r>
    </w:p>
    <w:p w:rsidR="00064B56" w:rsidRPr="00877EBD" w:rsidRDefault="00064B56" w:rsidP="00DD3C43">
      <w:pPr>
        <w:pStyle w:val="PlainText"/>
        <w:spacing w:before="100" w:beforeAutospacing="1" w:after="100" w:afterAutospacing="1"/>
        <w:ind w:left="720"/>
        <w:jc w:val="both"/>
        <w:rPr>
          <w:rFonts w:ascii="Arial" w:hAnsi="Arial"/>
          <w:smallCaps/>
          <w:sz w:val="24"/>
        </w:rPr>
      </w:pPr>
      <w:r w:rsidRPr="00877EBD">
        <w:rPr>
          <w:rFonts w:ascii="Arial" w:hAnsi="Arial"/>
          <w:b/>
          <w:smallCaps/>
          <w:sz w:val="24"/>
        </w:rPr>
        <w:t>Comment</w:t>
      </w:r>
    </w:p>
    <w:p w:rsidR="00B40834" w:rsidRDefault="00064B56" w:rsidP="002D293F">
      <w:pPr>
        <w:pStyle w:val="PlainText"/>
        <w:spacing w:before="100" w:beforeAutospacing="1" w:after="100" w:afterAutospacing="1"/>
        <w:ind w:left="709"/>
        <w:jc w:val="both"/>
        <w:rPr>
          <w:rFonts w:ascii="Arial" w:hAnsi="Arial"/>
          <w:sz w:val="24"/>
        </w:rPr>
      </w:pPr>
      <w:r>
        <w:rPr>
          <w:rFonts w:ascii="Arial" w:hAnsi="Arial"/>
          <w:sz w:val="24"/>
        </w:rPr>
        <w:t xml:space="preserve">Following Council’s decision on </w:t>
      </w:r>
      <w:r w:rsidR="00015AA0">
        <w:rPr>
          <w:rFonts w:ascii="Arial" w:hAnsi="Arial"/>
          <w:sz w:val="24"/>
        </w:rPr>
        <w:t>28 October</w:t>
      </w:r>
      <w:r>
        <w:rPr>
          <w:rFonts w:ascii="Arial" w:hAnsi="Arial"/>
          <w:sz w:val="24"/>
        </w:rPr>
        <w:t xml:space="preserve"> 2015, the planning proposal was forwarded to the Department of Planning a</w:t>
      </w:r>
      <w:r w:rsidR="002D293F">
        <w:rPr>
          <w:rFonts w:ascii="Arial" w:hAnsi="Arial"/>
          <w:sz w:val="24"/>
        </w:rPr>
        <w:t xml:space="preserve">nd Environment (the Department).  </w:t>
      </w:r>
      <w:r>
        <w:rPr>
          <w:rFonts w:ascii="Arial" w:hAnsi="Arial"/>
          <w:sz w:val="24"/>
        </w:rPr>
        <w:t xml:space="preserve">A gateway determination and a written authorisation to exercise delegation </w:t>
      </w:r>
      <w:r w:rsidR="00B12126">
        <w:rPr>
          <w:rFonts w:ascii="Arial" w:hAnsi="Arial"/>
          <w:sz w:val="24"/>
        </w:rPr>
        <w:t>were</w:t>
      </w:r>
      <w:r>
        <w:rPr>
          <w:rFonts w:ascii="Arial" w:hAnsi="Arial"/>
          <w:sz w:val="24"/>
        </w:rPr>
        <w:t xml:space="preserve"> issued by the Department on </w:t>
      </w:r>
      <w:r w:rsidR="00015AA0">
        <w:rPr>
          <w:rFonts w:ascii="Arial" w:hAnsi="Arial"/>
          <w:sz w:val="24"/>
        </w:rPr>
        <w:t>4 December</w:t>
      </w:r>
      <w:r w:rsidR="002D293F">
        <w:rPr>
          <w:rFonts w:ascii="Arial" w:hAnsi="Arial"/>
          <w:sz w:val="24"/>
        </w:rPr>
        <w:t xml:space="preserve"> </w:t>
      </w:r>
      <w:r>
        <w:rPr>
          <w:rFonts w:ascii="Arial" w:hAnsi="Arial"/>
          <w:sz w:val="24"/>
        </w:rPr>
        <w:t xml:space="preserve">2015.  </w:t>
      </w:r>
      <w:r w:rsidR="00015AA0">
        <w:rPr>
          <w:rFonts w:ascii="Arial" w:hAnsi="Arial"/>
          <w:sz w:val="24"/>
        </w:rPr>
        <w:t xml:space="preserve">A condition of the gateway determination was that the planning proposal be amended which was completed and approved by the Department on 11 December 2015.  </w:t>
      </w:r>
      <w:r w:rsidR="00B14A52">
        <w:rPr>
          <w:rFonts w:ascii="Arial" w:hAnsi="Arial"/>
          <w:sz w:val="24"/>
        </w:rPr>
        <w:t xml:space="preserve">Attachment 2 is the </w:t>
      </w:r>
      <w:r w:rsidR="00015AA0">
        <w:rPr>
          <w:rFonts w:ascii="Arial" w:hAnsi="Arial"/>
          <w:sz w:val="24"/>
        </w:rPr>
        <w:t xml:space="preserve">original </w:t>
      </w:r>
      <w:r w:rsidR="00C002A5">
        <w:rPr>
          <w:rFonts w:ascii="Arial" w:hAnsi="Arial"/>
          <w:sz w:val="24"/>
        </w:rPr>
        <w:t xml:space="preserve">planning proposal </w:t>
      </w:r>
      <w:r w:rsidR="00015AA0">
        <w:rPr>
          <w:rFonts w:ascii="Arial" w:hAnsi="Arial"/>
          <w:sz w:val="24"/>
        </w:rPr>
        <w:t xml:space="preserve">and the amended planning proposal </w:t>
      </w:r>
      <w:r w:rsidR="00C002A5">
        <w:rPr>
          <w:rFonts w:ascii="Arial" w:hAnsi="Arial"/>
          <w:sz w:val="24"/>
        </w:rPr>
        <w:t>and Attachment 3 is the gateway determination.</w:t>
      </w:r>
    </w:p>
    <w:p w:rsidR="00064B56" w:rsidRDefault="00064B56" w:rsidP="00064B56">
      <w:pPr>
        <w:pStyle w:val="PlainText"/>
        <w:ind w:left="709"/>
        <w:jc w:val="both"/>
        <w:rPr>
          <w:rFonts w:ascii="Arial" w:hAnsi="Arial"/>
          <w:sz w:val="24"/>
        </w:rPr>
      </w:pPr>
      <w:r>
        <w:rPr>
          <w:rFonts w:ascii="Arial" w:hAnsi="Arial"/>
          <w:sz w:val="24"/>
        </w:rPr>
        <w:lastRenderedPageBreak/>
        <w:t>The planning proposal was exhibited in accordance with section 57 of the Environmental Planning and Assessment Act (the Act) for a period of 14 days</w:t>
      </w:r>
      <w:r w:rsidR="00BB0969">
        <w:rPr>
          <w:rFonts w:ascii="Arial" w:hAnsi="Arial"/>
          <w:sz w:val="24"/>
        </w:rPr>
        <w:t xml:space="preserve"> and</w:t>
      </w:r>
      <w:r w:rsidR="002D293F">
        <w:rPr>
          <w:rFonts w:ascii="Arial" w:hAnsi="Arial"/>
          <w:sz w:val="24"/>
        </w:rPr>
        <w:t xml:space="preserve"> no</w:t>
      </w:r>
      <w:r w:rsidR="00BB0969">
        <w:rPr>
          <w:rFonts w:ascii="Arial" w:hAnsi="Arial"/>
          <w:sz w:val="24"/>
        </w:rPr>
        <w:t xml:space="preserve"> submission</w:t>
      </w:r>
      <w:r w:rsidR="002D293F">
        <w:rPr>
          <w:rFonts w:ascii="Arial" w:hAnsi="Arial"/>
          <w:sz w:val="24"/>
        </w:rPr>
        <w:t>s were</w:t>
      </w:r>
      <w:r w:rsidR="00BB0969">
        <w:rPr>
          <w:rFonts w:ascii="Arial" w:hAnsi="Arial"/>
          <w:sz w:val="24"/>
        </w:rPr>
        <w:t xml:space="preserve"> received.</w:t>
      </w:r>
    </w:p>
    <w:p w:rsidR="003602F7" w:rsidRDefault="003602F7" w:rsidP="00015AA0">
      <w:pPr>
        <w:pStyle w:val="PlainText"/>
        <w:jc w:val="both"/>
        <w:rPr>
          <w:rFonts w:ascii="Arial" w:hAnsi="Arial"/>
          <w:sz w:val="24"/>
        </w:rPr>
      </w:pPr>
    </w:p>
    <w:p w:rsidR="00064B56" w:rsidRDefault="00064B56" w:rsidP="00064B56">
      <w:pPr>
        <w:pStyle w:val="PlainText"/>
        <w:ind w:left="709"/>
        <w:jc w:val="both"/>
        <w:rPr>
          <w:rFonts w:ascii="Arial" w:hAnsi="Arial"/>
          <w:sz w:val="24"/>
        </w:rPr>
      </w:pPr>
      <w:r>
        <w:rPr>
          <w:rFonts w:ascii="Arial" w:hAnsi="Arial"/>
          <w:sz w:val="24"/>
        </w:rPr>
        <w:t>As Council has been given delegation to make the instrument, Council is required to resolve in accordance with section 59(2) or (3) of the Act on whether it wishes to make the instrument.  Section 59(2) and (3) states:</w:t>
      </w:r>
    </w:p>
    <w:p w:rsidR="00064B56" w:rsidRDefault="00064B56" w:rsidP="00064B56">
      <w:pPr>
        <w:pStyle w:val="PlainText"/>
        <w:ind w:left="709"/>
        <w:jc w:val="both"/>
        <w:rPr>
          <w:rFonts w:ascii="Arial" w:hAnsi="Arial"/>
          <w:sz w:val="24"/>
        </w:rPr>
      </w:pPr>
    </w:p>
    <w:p w:rsidR="00064B56" w:rsidRPr="008F435F" w:rsidRDefault="00064B56" w:rsidP="00064B56">
      <w:pPr>
        <w:ind w:left="1843" w:right="521" w:hanging="567"/>
        <w:jc w:val="both"/>
        <w:rPr>
          <w:rFonts w:cs="Arial"/>
          <w:i/>
          <w:szCs w:val="24"/>
          <w:lang w:val="en-AU" w:eastAsia="en-AU"/>
        </w:rPr>
      </w:pPr>
      <w:r w:rsidRPr="008F435F">
        <w:rPr>
          <w:rFonts w:cs="Arial"/>
          <w:i/>
          <w:szCs w:val="24"/>
          <w:lang w:val="en-AU" w:eastAsia="en-AU"/>
        </w:rPr>
        <w:t>(2)</w:t>
      </w:r>
      <w:r w:rsidRPr="008F435F">
        <w:rPr>
          <w:rFonts w:cs="Arial"/>
          <w:i/>
          <w:szCs w:val="24"/>
          <w:lang w:val="en-AU" w:eastAsia="en-AU"/>
        </w:rPr>
        <w:tab/>
        <w:t xml:space="preserve">The Minister may, following completion of community consultation: </w:t>
      </w:r>
    </w:p>
    <w:p w:rsidR="00064B56" w:rsidRPr="008F435F" w:rsidRDefault="00064B56" w:rsidP="00064B56">
      <w:pPr>
        <w:ind w:left="1843" w:right="521" w:hanging="567"/>
        <w:jc w:val="both"/>
        <w:rPr>
          <w:rFonts w:cs="Arial"/>
          <w:i/>
          <w:szCs w:val="24"/>
          <w:lang w:val="en-AU" w:eastAsia="en-AU"/>
        </w:rPr>
      </w:pPr>
    </w:p>
    <w:p w:rsidR="00064B56" w:rsidRPr="008F435F" w:rsidRDefault="00064B56" w:rsidP="00064B56">
      <w:pPr>
        <w:pStyle w:val="ListParagraph"/>
        <w:numPr>
          <w:ilvl w:val="0"/>
          <w:numId w:val="3"/>
        </w:numPr>
        <w:ind w:right="521"/>
        <w:jc w:val="both"/>
        <w:rPr>
          <w:rFonts w:cs="Arial"/>
          <w:i/>
          <w:szCs w:val="24"/>
          <w:lang w:val="en-AU" w:eastAsia="en-AU"/>
        </w:rPr>
      </w:pPr>
      <w:r w:rsidRPr="008F435F">
        <w:rPr>
          <w:rFonts w:cs="Arial"/>
          <w:i/>
          <w:szCs w:val="24"/>
          <w:lang w:val="en-AU" w:eastAsia="en-AU"/>
        </w:rPr>
        <w:t>make a local environmental plan (with or without variation of the proposals submitted by the relevant planning authority) in the terms the Minister considers appropriate, or</w:t>
      </w:r>
    </w:p>
    <w:p w:rsidR="00064B56" w:rsidRPr="008F435F" w:rsidRDefault="00064B56" w:rsidP="00064B56">
      <w:pPr>
        <w:pStyle w:val="ListParagraph"/>
        <w:ind w:left="2203" w:right="521"/>
        <w:jc w:val="both"/>
        <w:rPr>
          <w:rFonts w:cs="Arial"/>
          <w:i/>
          <w:szCs w:val="24"/>
          <w:lang w:val="en-AU" w:eastAsia="en-AU"/>
        </w:rPr>
      </w:pPr>
    </w:p>
    <w:p w:rsidR="00064B56" w:rsidRPr="008F435F" w:rsidRDefault="00064B56" w:rsidP="00064B56">
      <w:pPr>
        <w:pStyle w:val="ListParagraph"/>
        <w:numPr>
          <w:ilvl w:val="0"/>
          <w:numId w:val="3"/>
        </w:numPr>
        <w:ind w:right="521"/>
        <w:jc w:val="both"/>
        <w:rPr>
          <w:rFonts w:cs="Arial"/>
          <w:i/>
          <w:szCs w:val="24"/>
          <w:lang w:val="en-AU" w:eastAsia="en-AU"/>
        </w:rPr>
      </w:pPr>
      <w:r w:rsidRPr="008F435F">
        <w:rPr>
          <w:rFonts w:cs="Arial"/>
          <w:i/>
          <w:szCs w:val="24"/>
          <w:lang w:val="en-AU" w:eastAsia="en-AU"/>
        </w:rPr>
        <w:t>decide not to make the proposed local environmental plan.</w:t>
      </w:r>
    </w:p>
    <w:p w:rsidR="00064B56" w:rsidRPr="008F435F" w:rsidRDefault="00064B56" w:rsidP="00064B56">
      <w:pPr>
        <w:ind w:right="521"/>
        <w:jc w:val="both"/>
        <w:rPr>
          <w:rFonts w:cs="Arial"/>
          <w:i/>
          <w:szCs w:val="24"/>
          <w:lang w:val="en-AU" w:eastAsia="en-AU"/>
        </w:rPr>
      </w:pPr>
    </w:p>
    <w:p w:rsidR="00064B56" w:rsidRPr="008F435F" w:rsidRDefault="00064B56" w:rsidP="00064B56">
      <w:pPr>
        <w:ind w:left="1843" w:right="521" w:hanging="567"/>
        <w:jc w:val="both"/>
        <w:rPr>
          <w:rFonts w:cs="Arial"/>
          <w:i/>
          <w:szCs w:val="24"/>
          <w:lang w:val="en-AU" w:eastAsia="en-AU"/>
        </w:rPr>
      </w:pPr>
      <w:r w:rsidRPr="008F435F">
        <w:rPr>
          <w:rFonts w:cs="Arial"/>
          <w:i/>
          <w:szCs w:val="24"/>
          <w:lang w:val="en-AU" w:eastAsia="en-AU"/>
        </w:rPr>
        <w:t>(3)</w:t>
      </w:r>
      <w:r w:rsidRPr="008F435F">
        <w:rPr>
          <w:rFonts w:cs="Arial"/>
          <w:i/>
          <w:szCs w:val="24"/>
          <w:lang w:val="en-AU" w:eastAsia="en-AU"/>
        </w:rPr>
        <w:tab/>
        <w:t>The Minister may defer the inclusion of a matter in a proposed local environmental plan.</w:t>
      </w:r>
    </w:p>
    <w:p w:rsidR="00064B56" w:rsidRDefault="00064B56" w:rsidP="00064B56">
      <w:pPr>
        <w:pStyle w:val="PlainText"/>
        <w:ind w:left="709"/>
        <w:jc w:val="both"/>
        <w:rPr>
          <w:rFonts w:ascii="Arial" w:hAnsi="Arial"/>
          <w:sz w:val="24"/>
        </w:rPr>
      </w:pPr>
    </w:p>
    <w:p w:rsidR="00064B56" w:rsidRDefault="00064B56" w:rsidP="00BB0969">
      <w:pPr>
        <w:pStyle w:val="PlainText"/>
        <w:spacing w:before="120"/>
        <w:ind w:left="709" w:firstLine="11"/>
        <w:jc w:val="both"/>
        <w:rPr>
          <w:rFonts w:ascii="Arial" w:hAnsi="Arial"/>
          <w:sz w:val="24"/>
        </w:rPr>
      </w:pPr>
      <w:r>
        <w:rPr>
          <w:rFonts w:ascii="Arial" w:hAnsi="Arial"/>
          <w:sz w:val="24"/>
        </w:rPr>
        <w:t>It is recommended that the instrument be made.  Should Council resolve to make the instrument, it will be signed by Council under delegation and then forwarded to the Department requesting that the instrument be notified on the NSW legislation website.  The instrument will commence on the day it is notified.</w:t>
      </w:r>
    </w:p>
    <w:p w:rsidR="00BB0969" w:rsidRPr="00877EBD" w:rsidRDefault="00BB0969" w:rsidP="00BB0969">
      <w:pPr>
        <w:pStyle w:val="PlainText"/>
        <w:spacing w:before="240"/>
        <w:ind w:left="720"/>
        <w:jc w:val="both"/>
        <w:rPr>
          <w:rFonts w:ascii="Arial" w:hAnsi="Arial"/>
          <w:b/>
          <w:smallCaps/>
          <w:sz w:val="24"/>
        </w:rPr>
      </w:pPr>
      <w:r w:rsidRPr="00877EBD">
        <w:rPr>
          <w:rFonts w:ascii="Arial" w:hAnsi="Arial"/>
          <w:b/>
          <w:smallCaps/>
          <w:sz w:val="24"/>
        </w:rPr>
        <w:t>Strategic Implications</w:t>
      </w:r>
      <w:r>
        <w:rPr>
          <w:rFonts w:ascii="Arial" w:hAnsi="Arial"/>
          <w:b/>
          <w:smallCaps/>
          <w:sz w:val="24"/>
        </w:rPr>
        <w:t>:</w:t>
      </w:r>
    </w:p>
    <w:p w:rsidR="00BB0969" w:rsidRDefault="00BB0969" w:rsidP="00BB0969">
      <w:pPr>
        <w:pStyle w:val="PlainText"/>
        <w:spacing w:before="120"/>
        <w:ind w:left="720"/>
        <w:jc w:val="both"/>
        <w:rPr>
          <w:rFonts w:ascii="Arial" w:hAnsi="Arial"/>
          <w:sz w:val="24"/>
        </w:rPr>
      </w:pPr>
      <w:r>
        <w:rPr>
          <w:rFonts w:ascii="Arial" w:hAnsi="Arial"/>
          <w:sz w:val="24"/>
        </w:rPr>
        <w:t>An amendment to LEP 2013 is required to achieve the objectives of the planning proposal.</w:t>
      </w:r>
    </w:p>
    <w:p w:rsidR="00BB0969" w:rsidRPr="00877EBD" w:rsidRDefault="00BB0969" w:rsidP="00BB0969">
      <w:pPr>
        <w:pStyle w:val="PlainText"/>
        <w:spacing w:before="240"/>
        <w:ind w:left="720"/>
        <w:jc w:val="both"/>
        <w:rPr>
          <w:rFonts w:ascii="Arial" w:hAnsi="Arial"/>
          <w:b/>
          <w:smallCaps/>
          <w:sz w:val="24"/>
        </w:rPr>
      </w:pPr>
      <w:r w:rsidRPr="00877EBD">
        <w:rPr>
          <w:rFonts w:ascii="Arial" w:hAnsi="Arial"/>
          <w:b/>
          <w:smallCaps/>
          <w:sz w:val="24"/>
        </w:rPr>
        <w:t>Budgetary Implications</w:t>
      </w:r>
      <w:r>
        <w:rPr>
          <w:rFonts w:ascii="Arial" w:hAnsi="Arial"/>
          <w:b/>
          <w:smallCaps/>
          <w:sz w:val="24"/>
        </w:rPr>
        <w:t>:</w:t>
      </w:r>
    </w:p>
    <w:p w:rsidR="00BB0969" w:rsidRDefault="003602F7" w:rsidP="00BB0969">
      <w:pPr>
        <w:pStyle w:val="PlainText"/>
        <w:spacing w:before="120"/>
        <w:ind w:left="720"/>
        <w:jc w:val="both"/>
        <w:rPr>
          <w:rFonts w:ascii="Arial" w:hAnsi="Arial"/>
          <w:sz w:val="24"/>
        </w:rPr>
      </w:pPr>
      <w:proofErr w:type="gramStart"/>
      <w:r>
        <w:rPr>
          <w:rFonts w:ascii="Arial" w:hAnsi="Arial"/>
          <w:sz w:val="24"/>
        </w:rPr>
        <w:t>Nil.</w:t>
      </w:r>
      <w:proofErr w:type="gramEnd"/>
    </w:p>
    <w:p w:rsidR="00BB0969" w:rsidRPr="00877EBD" w:rsidRDefault="00BB0969" w:rsidP="00BB0969">
      <w:pPr>
        <w:pStyle w:val="PlainText"/>
        <w:spacing w:before="240"/>
        <w:ind w:left="720"/>
        <w:jc w:val="both"/>
        <w:rPr>
          <w:rFonts w:ascii="Arial" w:hAnsi="Arial"/>
          <w:b/>
          <w:smallCaps/>
          <w:sz w:val="24"/>
        </w:rPr>
      </w:pPr>
      <w:r w:rsidRPr="00877EBD">
        <w:rPr>
          <w:rFonts w:ascii="Arial" w:hAnsi="Arial"/>
          <w:b/>
          <w:smallCaps/>
          <w:sz w:val="24"/>
        </w:rPr>
        <w:t>Policy Implications</w:t>
      </w:r>
      <w:r>
        <w:rPr>
          <w:rFonts w:ascii="Arial" w:hAnsi="Arial"/>
          <w:b/>
          <w:smallCaps/>
          <w:sz w:val="24"/>
        </w:rPr>
        <w:t>:</w:t>
      </w:r>
    </w:p>
    <w:p w:rsidR="00BB0969" w:rsidRDefault="00BB0969" w:rsidP="00BB0969">
      <w:pPr>
        <w:pStyle w:val="PlainText"/>
        <w:spacing w:before="120"/>
        <w:ind w:left="720"/>
        <w:jc w:val="both"/>
        <w:rPr>
          <w:rFonts w:ascii="Arial" w:hAnsi="Arial"/>
          <w:sz w:val="24"/>
        </w:rPr>
      </w:pPr>
      <w:r>
        <w:rPr>
          <w:rFonts w:ascii="Arial" w:hAnsi="Arial"/>
          <w:sz w:val="24"/>
        </w:rPr>
        <w:t>Nil.</w:t>
      </w:r>
    </w:p>
    <w:p w:rsidR="00BB0969" w:rsidRPr="00877EBD" w:rsidRDefault="00BB0969" w:rsidP="00BB0969">
      <w:pPr>
        <w:pStyle w:val="PlainText"/>
        <w:spacing w:before="240"/>
        <w:ind w:left="720"/>
        <w:jc w:val="both"/>
        <w:rPr>
          <w:rFonts w:ascii="Arial" w:hAnsi="Arial"/>
          <w:b/>
          <w:smallCaps/>
          <w:sz w:val="24"/>
        </w:rPr>
      </w:pPr>
      <w:r w:rsidRPr="00877EBD">
        <w:rPr>
          <w:rFonts w:ascii="Arial" w:hAnsi="Arial"/>
          <w:b/>
          <w:smallCaps/>
          <w:sz w:val="24"/>
        </w:rPr>
        <w:t>Legislative Implications</w:t>
      </w:r>
      <w:r>
        <w:rPr>
          <w:rFonts w:ascii="Arial" w:hAnsi="Arial"/>
          <w:b/>
          <w:smallCaps/>
          <w:sz w:val="24"/>
        </w:rPr>
        <w:t>:</w:t>
      </w:r>
    </w:p>
    <w:p w:rsidR="00BB0969" w:rsidRDefault="00B40834" w:rsidP="00BB0969">
      <w:pPr>
        <w:pStyle w:val="PlainText"/>
        <w:spacing w:before="120"/>
        <w:ind w:left="709"/>
        <w:jc w:val="both"/>
        <w:rPr>
          <w:rFonts w:ascii="Arial" w:hAnsi="Arial"/>
          <w:sz w:val="24"/>
        </w:rPr>
      </w:pPr>
      <w:r>
        <w:rPr>
          <w:rFonts w:ascii="Arial" w:hAnsi="Arial"/>
          <w:sz w:val="24"/>
        </w:rPr>
        <w:t>Amendments to the LEP 2013 must be in accordance with the Act.</w:t>
      </w:r>
    </w:p>
    <w:p w:rsidR="00015AA0" w:rsidRPr="00877EBD" w:rsidRDefault="00015AA0" w:rsidP="00015AA0">
      <w:pPr>
        <w:pStyle w:val="PlainText"/>
        <w:spacing w:before="240"/>
        <w:ind w:left="720"/>
        <w:jc w:val="both"/>
        <w:rPr>
          <w:rFonts w:ascii="Arial" w:hAnsi="Arial"/>
          <w:b/>
          <w:smallCaps/>
          <w:sz w:val="24"/>
        </w:rPr>
      </w:pPr>
      <w:r w:rsidRPr="00877EBD">
        <w:rPr>
          <w:rFonts w:ascii="Arial" w:hAnsi="Arial"/>
          <w:b/>
          <w:smallCaps/>
          <w:sz w:val="24"/>
        </w:rPr>
        <w:t>Risk Assessment</w:t>
      </w:r>
      <w:r>
        <w:rPr>
          <w:rFonts w:ascii="Arial" w:hAnsi="Arial"/>
          <w:b/>
          <w:smallCaps/>
          <w:sz w:val="24"/>
        </w:rPr>
        <w:t>:</w:t>
      </w:r>
    </w:p>
    <w:p w:rsidR="00015AA0" w:rsidRPr="008D1379" w:rsidRDefault="00015AA0" w:rsidP="00015AA0">
      <w:pPr>
        <w:pStyle w:val="PlainText"/>
        <w:spacing w:before="120"/>
        <w:ind w:left="720"/>
        <w:jc w:val="both"/>
        <w:rPr>
          <w:rFonts w:ascii="Arial" w:hAnsi="Arial"/>
          <w:b/>
          <w:i/>
          <w:sz w:val="24"/>
        </w:rPr>
      </w:pPr>
      <w:r w:rsidRPr="008D1379">
        <w:rPr>
          <w:rFonts w:ascii="Arial" w:hAnsi="Arial"/>
          <w:b/>
          <w:i/>
          <w:sz w:val="24"/>
        </w:rPr>
        <w:t>What can happen?</w:t>
      </w:r>
    </w:p>
    <w:p w:rsidR="00015AA0" w:rsidRPr="008D1379" w:rsidRDefault="00015AA0" w:rsidP="00015AA0">
      <w:pPr>
        <w:pStyle w:val="PlainText"/>
        <w:spacing w:before="120"/>
        <w:ind w:left="720"/>
        <w:jc w:val="both"/>
        <w:rPr>
          <w:rFonts w:ascii="Arial" w:hAnsi="Arial"/>
          <w:sz w:val="24"/>
        </w:rPr>
      </w:pPr>
      <w:r>
        <w:rPr>
          <w:rFonts w:ascii="Arial" w:hAnsi="Arial"/>
          <w:sz w:val="24"/>
        </w:rPr>
        <w:t>Amend the LEP to boundary adjustments below the minimum lot size in certain zones.</w:t>
      </w:r>
    </w:p>
    <w:p w:rsidR="00015AA0" w:rsidRPr="008D1379" w:rsidRDefault="00015AA0" w:rsidP="00015AA0">
      <w:pPr>
        <w:pStyle w:val="PlainText"/>
        <w:spacing w:before="120"/>
        <w:ind w:left="720"/>
        <w:jc w:val="both"/>
        <w:rPr>
          <w:rFonts w:ascii="Arial" w:hAnsi="Arial"/>
          <w:b/>
          <w:i/>
          <w:sz w:val="24"/>
        </w:rPr>
      </w:pPr>
      <w:r w:rsidRPr="008D1379">
        <w:rPr>
          <w:rFonts w:ascii="Arial" w:hAnsi="Arial"/>
          <w:b/>
          <w:i/>
          <w:sz w:val="24"/>
        </w:rPr>
        <w:t>How can it happen?</w:t>
      </w:r>
    </w:p>
    <w:p w:rsidR="00015AA0" w:rsidRDefault="00015AA0" w:rsidP="00015AA0">
      <w:pPr>
        <w:pStyle w:val="PlainText"/>
        <w:spacing w:before="120"/>
        <w:ind w:left="720"/>
        <w:jc w:val="both"/>
        <w:rPr>
          <w:rFonts w:ascii="Arial" w:hAnsi="Arial"/>
          <w:sz w:val="24"/>
        </w:rPr>
      </w:pPr>
      <w:proofErr w:type="gramStart"/>
      <w:r>
        <w:rPr>
          <w:rFonts w:ascii="Arial" w:hAnsi="Arial"/>
          <w:sz w:val="24"/>
        </w:rPr>
        <w:t>By preparing a planning proposal.</w:t>
      </w:r>
      <w:proofErr w:type="gramEnd"/>
    </w:p>
    <w:p w:rsidR="00015AA0" w:rsidRPr="008D1379" w:rsidRDefault="00015AA0" w:rsidP="00015AA0">
      <w:pPr>
        <w:pStyle w:val="PlainText"/>
        <w:spacing w:before="120"/>
        <w:ind w:left="720"/>
        <w:jc w:val="both"/>
        <w:rPr>
          <w:rFonts w:ascii="Arial" w:hAnsi="Arial"/>
          <w:b/>
          <w:i/>
          <w:sz w:val="24"/>
        </w:rPr>
      </w:pPr>
      <w:r w:rsidRPr="008D1379">
        <w:rPr>
          <w:rFonts w:ascii="Arial" w:hAnsi="Arial"/>
          <w:b/>
          <w:i/>
          <w:sz w:val="24"/>
        </w:rPr>
        <w:t>What are the consequences of the event happening?</w:t>
      </w:r>
    </w:p>
    <w:p w:rsidR="00015AA0" w:rsidRDefault="00015AA0" w:rsidP="00015AA0">
      <w:pPr>
        <w:pStyle w:val="PlainText"/>
        <w:spacing w:before="120"/>
        <w:ind w:left="709"/>
        <w:jc w:val="both"/>
        <w:rPr>
          <w:rFonts w:ascii="Arial" w:hAnsi="Arial"/>
          <w:sz w:val="24"/>
        </w:rPr>
      </w:pPr>
      <w:r>
        <w:rPr>
          <w:rFonts w:ascii="Arial" w:hAnsi="Arial"/>
          <w:sz w:val="24"/>
        </w:rPr>
        <w:t>Boundary adjustment below the minimum lot size in certain zones will be permissible.</w:t>
      </w:r>
    </w:p>
    <w:p w:rsidR="00015AA0" w:rsidRPr="008D1379" w:rsidRDefault="00015AA0" w:rsidP="00015AA0">
      <w:pPr>
        <w:pStyle w:val="PlainText"/>
        <w:spacing w:before="120"/>
        <w:ind w:left="720"/>
        <w:jc w:val="both"/>
        <w:rPr>
          <w:rFonts w:ascii="Arial" w:hAnsi="Arial"/>
          <w:b/>
          <w:i/>
          <w:sz w:val="24"/>
        </w:rPr>
      </w:pPr>
      <w:r w:rsidRPr="008D1379">
        <w:rPr>
          <w:rFonts w:ascii="Arial" w:hAnsi="Arial"/>
          <w:b/>
          <w:i/>
          <w:sz w:val="24"/>
        </w:rPr>
        <w:t>What is the likelihood of the event happening?</w:t>
      </w:r>
    </w:p>
    <w:p w:rsidR="00015AA0" w:rsidRDefault="00015AA0" w:rsidP="00015AA0">
      <w:pPr>
        <w:pStyle w:val="PlainText"/>
        <w:spacing w:before="120"/>
        <w:ind w:left="720"/>
        <w:jc w:val="both"/>
        <w:rPr>
          <w:rFonts w:ascii="Arial" w:hAnsi="Arial"/>
          <w:sz w:val="24"/>
        </w:rPr>
      </w:pPr>
      <w:proofErr w:type="gramStart"/>
      <w:r>
        <w:rPr>
          <w:rFonts w:ascii="Arial" w:hAnsi="Arial"/>
          <w:sz w:val="24"/>
        </w:rPr>
        <w:t>High.</w:t>
      </w:r>
      <w:proofErr w:type="gramEnd"/>
      <w:r>
        <w:rPr>
          <w:rFonts w:ascii="Arial" w:hAnsi="Arial"/>
          <w:sz w:val="24"/>
        </w:rPr>
        <w:t xml:space="preserve">  This LEP amendment is considered to be minor.</w:t>
      </w:r>
    </w:p>
    <w:p w:rsidR="00015AA0" w:rsidRPr="008D1379" w:rsidRDefault="00015AA0" w:rsidP="00015AA0">
      <w:pPr>
        <w:pStyle w:val="PlainText"/>
        <w:spacing w:before="120"/>
        <w:ind w:left="720"/>
        <w:jc w:val="both"/>
        <w:rPr>
          <w:rFonts w:ascii="Arial" w:hAnsi="Arial"/>
          <w:b/>
          <w:i/>
          <w:sz w:val="24"/>
        </w:rPr>
      </w:pPr>
      <w:proofErr w:type="gramStart"/>
      <w:r w:rsidRPr="008D1379">
        <w:rPr>
          <w:rFonts w:ascii="Arial" w:hAnsi="Arial"/>
          <w:b/>
          <w:i/>
          <w:sz w:val="24"/>
        </w:rPr>
        <w:lastRenderedPageBreak/>
        <w:t>Adequacy of existing controls?</w:t>
      </w:r>
      <w:proofErr w:type="gramEnd"/>
    </w:p>
    <w:p w:rsidR="00015AA0" w:rsidRDefault="00015AA0" w:rsidP="00015AA0">
      <w:pPr>
        <w:pStyle w:val="PlainText"/>
        <w:spacing w:before="120"/>
        <w:ind w:left="720"/>
        <w:jc w:val="both"/>
        <w:rPr>
          <w:rFonts w:ascii="Arial" w:hAnsi="Arial"/>
          <w:sz w:val="24"/>
        </w:rPr>
      </w:pPr>
      <w:r>
        <w:rPr>
          <w:rFonts w:ascii="Arial" w:hAnsi="Arial"/>
          <w:sz w:val="24"/>
        </w:rPr>
        <w:t>Boundary adjustments below the minimum lot size in certain zones are prohibited.</w:t>
      </w:r>
    </w:p>
    <w:p w:rsidR="00015AA0" w:rsidRDefault="00015AA0" w:rsidP="00015AA0">
      <w:pPr>
        <w:pStyle w:val="PlainText"/>
        <w:spacing w:before="120"/>
        <w:ind w:left="720"/>
        <w:jc w:val="both"/>
        <w:rPr>
          <w:rFonts w:ascii="Arial" w:hAnsi="Arial"/>
          <w:b/>
          <w:i/>
          <w:sz w:val="24"/>
        </w:rPr>
      </w:pPr>
      <w:proofErr w:type="gramStart"/>
      <w:r w:rsidRPr="008D1379">
        <w:rPr>
          <w:rFonts w:ascii="Arial" w:hAnsi="Arial"/>
          <w:b/>
          <w:i/>
          <w:sz w:val="24"/>
        </w:rPr>
        <w:t>Treatment options to mitigate the risk?</w:t>
      </w:r>
      <w:proofErr w:type="gramEnd"/>
    </w:p>
    <w:p w:rsidR="00015AA0" w:rsidRPr="00015AA0" w:rsidRDefault="00015AA0" w:rsidP="00015AA0">
      <w:pPr>
        <w:pStyle w:val="PlainText"/>
        <w:spacing w:before="120"/>
        <w:ind w:left="720"/>
        <w:jc w:val="both"/>
        <w:rPr>
          <w:rFonts w:ascii="Arial" w:hAnsi="Arial"/>
          <w:sz w:val="24"/>
        </w:rPr>
      </w:pPr>
      <w:r w:rsidRPr="00015AA0">
        <w:rPr>
          <w:rFonts w:ascii="Arial" w:hAnsi="Arial"/>
          <w:sz w:val="24"/>
        </w:rPr>
        <w:t>Amend the LEP 2013.</w:t>
      </w:r>
    </w:p>
    <w:p w:rsidR="00BB0969" w:rsidRDefault="00BB0969" w:rsidP="00BB0969">
      <w:pPr>
        <w:pStyle w:val="PlainText"/>
        <w:tabs>
          <w:tab w:val="left" w:pos="567"/>
        </w:tabs>
        <w:spacing w:before="360"/>
        <w:ind w:left="720"/>
        <w:jc w:val="both"/>
        <w:rPr>
          <w:rFonts w:ascii="Arial" w:hAnsi="Arial"/>
          <w:b/>
          <w:smallCaps/>
          <w:sz w:val="24"/>
        </w:rPr>
      </w:pPr>
      <w:r>
        <w:rPr>
          <w:rFonts w:ascii="Arial" w:hAnsi="Arial"/>
          <w:b/>
          <w:smallCaps/>
          <w:sz w:val="24"/>
        </w:rPr>
        <w:t>Conclusion:</w:t>
      </w:r>
    </w:p>
    <w:p w:rsidR="00BB0969" w:rsidRPr="008D1379" w:rsidRDefault="00BB0969" w:rsidP="00BB0969">
      <w:pPr>
        <w:pStyle w:val="PlainText"/>
        <w:tabs>
          <w:tab w:val="left" w:pos="567"/>
        </w:tabs>
        <w:spacing w:before="120"/>
        <w:ind w:left="720"/>
        <w:jc w:val="both"/>
        <w:rPr>
          <w:rFonts w:ascii="Arial" w:hAnsi="Arial"/>
          <w:sz w:val="24"/>
        </w:rPr>
      </w:pPr>
      <w:r>
        <w:rPr>
          <w:rFonts w:ascii="Arial" w:hAnsi="Arial"/>
          <w:sz w:val="24"/>
        </w:rPr>
        <w:t xml:space="preserve">Council should submit the planning proposal to the Department </w:t>
      </w:r>
      <w:r w:rsidR="00B40834">
        <w:rPr>
          <w:rFonts w:ascii="Arial" w:hAnsi="Arial"/>
          <w:sz w:val="24"/>
        </w:rPr>
        <w:t>and request that it be made.</w:t>
      </w:r>
    </w:p>
    <w:p w:rsidR="00877EBD" w:rsidRPr="00877EBD" w:rsidRDefault="00877EBD" w:rsidP="00027E61">
      <w:pPr>
        <w:pStyle w:val="PlainText"/>
        <w:tabs>
          <w:tab w:val="left" w:pos="567"/>
        </w:tabs>
        <w:spacing w:before="480"/>
        <w:ind w:left="720"/>
        <w:jc w:val="both"/>
        <w:rPr>
          <w:rFonts w:ascii="Arial" w:hAnsi="Arial"/>
          <w:b/>
          <w:smallCaps/>
          <w:sz w:val="24"/>
        </w:rPr>
      </w:pPr>
      <w:r w:rsidRPr="00877EBD">
        <w:rPr>
          <w:rFonts w:ascii="Arial" w:hAnsi="Arial"/>
          <w:b/>
          <w:smallCaps/>
          <w:sz w:val="24"/>
        </w:rPr>
        <w:t>Attachments:</w:t>
      </w:r>
    </w:p>
    <w:p w:rsidR="00B40834" w:rsidRDefault="00B40834" w:rsidP="00B40834">
      <w:pPr>
        <w:pStyle w:val="PlainText"/>
        <w:numPr>
          <w:ilvl w:val="0"/>
          <w:numId w:val="1"/>
        </w:numPr>
        <w:tabs>
          <w:tab w:val="left" w:pos="567"/>
        </w:tabs>
        <w:spacing w:before="120"/>
        <w:ind w:hanging="371"/>
        <w:jc w:val="both"/>
        <w:rPr>
          <w:rFonts w:ascii="Arial" w:hAnsi="Arial"/>
          <w:sz w:val="24"/>
        </w:rPr>
      </w:pPr>
      <w:r>
        <w:rPr>
          <w:rFonts w:ascii="Arial" w:hAnsi="Arial"/>
          <w:sz w:val="24"/>
        </w:rPr>
        <w:t xml:space="preserve">Attachment </w:t>
      </w:r>
      <w:r w:rsidR="00B14A52">
        <w:rPr>
          <w:rFonts w:ascii="Arial" w:hAnsi="Arial"/>
          <w:sz w:val="24"/>
        </w:rPr>
        <w:t>1</w:t>
      </w:r>
      <w:r>
        <w:rPr>
          <w:rFonts w:ascii="Arial" w:hAnsi="Arial"/>
          <w:sz w:val="24"/>
        </w:rPr>
        <w:t xml:space="preserve"> – Draft amending instrument and Parliamentary Counsel’s opinion</w:t>
      </w:r>
      <w:r w:rsidR="00015AA0">
        <w:rPr>
          <w:rFonts w:ascii="Arial" w:hAnsi="Arial"/>
          <w:sz w:val="24"/>
        </w:rPr>
        <w:t xml:space="preserve"> - </w:t>
      </w:r>
      <w:r w:rsidR="00005F95">
        <w:rPr>
          <w:rFonts w:ascii="Arial" w:hAnsi="Arial"/>
          <w:sz w:val="24"/>
        </w:rPr>
        <w:t>4</w:t>
      </w:r>
      <w:r w:rsidR="00015AA0">
        <w:rPr>
          <w:rFonts w:ascii="Arial" w:hAnsi="Arial"/>
          <w:sz w:val="24"/>
        </w:rPr>
        <w:t xml:space="preserve"> pages</w:t>
      </w:r>
    </w:p>
    <w:p w:rsidR="00CB6BFE" w:rsidRDefault="00CB6BFE" w:rsidP="00B40834">
      <w:pPr>
        <w:pStyle w:val="PlainText"/>
        <w:numPr>
          <w:ilvl w:val="0"/>
          <w:numId w:val="1"/>
        </w:numPr>
        <w:tabs>
          <w:tab w:val="left" w:pos="567"/>
        </w:tabs>
        <w:spacing w:before="120"/>
        <w:ind w:hanging="371"/>
        <w:jc w:val="both"/>
        <w:rPr>
          <w:rFonts w:ascii="Arial" w:hAnsi="Arial"/>
          <w:sz w:val="24"/>
        </w:rPr>
      </w:pPr>
      <w:r>
        <w:rPr>
          <w:rFonts w:ascii="Arial" w:hAnsi="Arial"/>
          <w:sz w:val="24"/>
        </w:rPr>
        <w:t>Attachment 2 – Planning proposal</w:t>
      </w:r>
      <w:r w:rsidR="002C75F8">
        <w:rPr>
          <w:rFonts w:ascii="Arial" w:hAnsi="Arial"/>
          <w:sz w:val="24"/>
        </w:rPr>
        <w:t xml:space="preserve"> (original) and planning proposal (amended)</w:t>
      </w:r>
      <w:r w:rsidR="00015AA0">
        <w:rPr>
          <w:rFonts w:ascii="Arial" w:hAnsi="Arial"/>
          <w:sz w:val="24"/>
        </w:rPr>
        <w:t xml:space="preserve"> - </w:t>
      </w:r>
      <w:r w:rsidR="00005F95">
        <w:rPr>
          <w:rFonts w:ascii="Arial" w:hAnsi="Arial"/>
          <w:sz w:val="24"/>
        </w:rPr>
        <w:t>21</w:t>
      </w:r>
      <w:r w:rsidR="00015AA0">
        <w:rPr>
          <w:rFonts w:ascii="Arial" w:hAnsi="Arial"/>
          <w:sz w:val="24"/>
        </w:rPr>
        <w:t xml:space="preserve"> pages</w:t>
      </w:r>
    </w:p>
    <w:p w:rsidR="00B51879" w:rsidRDefault="00B51879" w:rsidP="00877EBD">
      <w:pPr>
        <w:pStyle w:val="PlainText"/>
        <w:numPr>
          <w:ilvl w:val="0"/>
          <w:numId w:val="1"/>
        </w:numPr>
        <w:tabs>
          <w:tab w:val="left" w:pos="567"/>
        </w:tabs>
        <w:spacing w:before="120"/>
        <w:jc w:val="both"/>
        <w:rPr>
          <w:rFonts w:ascii="Arial" w:hAnsi="Arial"/>
          <w:sz w:val="24"/>
        </w:rPr>
      </w:pPr>
      <w:r>
        <w:rPr>
          <w:rFonts w:ascii="Arial" w:hAnsi="Arial"/>
          <w:sz w:val="24"/>
        </w:rPr>
        <w:t xml:space="preserve">Attachment </w:t>
      </w:r>
      <w:r w:rsidR="00CB6BFE">
        <w:rPr>
          <w:rFonts w:ascii="Arial" w:hAnsi="Arial"/>
          <w:sz w:val="24"/>
        </w:rPr>
        <w:t>3</w:t>
      </w:r>
      <w:r>
        <w:rPr>
          <w:rFonts w:ascii="Arial" w:hAnsi="Arial"/>
          <w:sz w:val="24"/>
        </w:rPr>
        <w:t xml:space="preserve"> – Gateway determination and Department letter dated </w:t>
      </w:r>
      <w:r w:rsidR="00005F95">
        <w:rPr>
          <w:rFonts w:ascii="Arial" w:hAnsi="Arial"/>
          <w:sz w:val="24"/>
        </w:rPr>
        <w:t>11</w:t>
      </w:r>
      <w:r w:rsidR="00DC27F5">
        <w:rPr>
          <w:rFonts w:ascii="Arial" w:hAnsi="Arial"/>
          <w:sz w:val="24"/>
        </w:rPr>
        <w:t xml:space="preserve"> </w:t>
      </w:r>
      <w:r w:rsidR="00005F95">
        <w:rPr>
          <w:rFonts w:ascii="Arial" w:hAnsi="Arial"/>
          <w:sz w:val="24"/>
        </w:rPr>
        <w:t>December</w:t>
      </w:r>
      <w:r w:rsidR="00DC27F5">
        <w:rPr>
          <w:rFonts w:ascii="Arial" w:hAnsi="Arial"/>
          <w:sz w:val="24"/>
        </w:rPr>
        <w:t xml:space="preserve"> 2015</w:t>
      </w:r>
      <w:r w:rsidR="00015AA0">
        <w:rPr>
          <w:rFonts w:ascii="Arial" w:hAnsi="Arial"/>
          <w:sz w:val="24"/>
        </w:rPr>
        <w:t xml:space="preserve"> </w:t>
      </w:r>
      <w:r w:rsidR="00005F95">
        <w:rPr>
          <w:rFonts w:ascii="Arial" w:hAnsi="Arial"/>
          <w:sz w:val="24"/>
        </w:rPr>
        <w:t>–</w:t>
      </w:r>
      <w:r w:rsidR="00015AA0">
        <w:rPr>
          <w:rFonts w:ascii="Arial" w:hAnsi="Arial"/>
          <w:sz w:val="24"/>
        </w:rPr>
        <w:t xml:space="preserve"> </w:t>
      </w:r>
      <w:r w:rsidR="00005F95">
        <w:rPr>
          <w:rFonts w:ascii="Arial" w:hAnsi="Arial"/>
          <w:sz w:val="24"/>
        </w:rPr>
        <w:t xml:space="preserve">6 </w:t>
      </w:r>
      <w:r w:rsidR="00015AA0">
        <w:rPr>
          <w:rFonts w:ascii="Arial" w:hAnsi="Arial"/>
          <w:sz w:val="24"/>
        </w:rPr>
        <w:t>pages</w:t>
      </w:r>
    </w:p>
    <w:p w:rsidR="003F165F" w:rsidRDefault="003F165F" w:rsidP="00877EBD">
      <w:pPr>
        <w:pBdr>
          <w:bottom w:val="double" w:sz="4" w:space="1" w:color="auto"/>
        </w:pBdr>
        <w:tabs>
          <w:tab w:val="left" w:pos="567"/>
        </w:tabs>
      </w:pPr>
    </w:p>
    <w:p w:rsidR="00405C74" w:rsidRDefault="00405C74" w:rsidP="00877EBD"/>
    <w:sectPr w:rsidR="00405C74" w:rsidSect="00A14DCD">
      <w:pgSz w:w="11906" w:h="16838" w:code="9"/>
      <w:pgMar w:top="720" w:right="1440" w:bottom="576"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A5" w:rsidRDefault="00C002A5">
      <w:r>
        <w:separator/>
      </w:r>
    </w:p>
  </w:endnote>
  <w:endnote w:type="continuationSeparator" w:id="0">
    <w:p w:rsidR="00C002A5" w:rsidRDefault="00C00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A5" w:rsidRDefault="00C002A5">
      <w:r>
        <w:separator/>
      </w:r>
    </w:p>
  </w:footnote>
  <w:footnote w:type="continuationSeparator" w:id="0">
    <w:p w:rsidR="00C002A5" w:rsidRDefault="00C00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1F1C"/>
    <w:multiLevelType w:val="hybridMultilevel"/>
    <w:tmpl w:val="24CCF2A8"/>
    <w:lvl w:ilvl="0" w:tplc="05E802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3F6C43E3"/>
    <w:multiLevelType w:val="hybridMultilevel"/>
    <w:tmpl w:val="8256C26C"/>
    <w:lvl w:ilvl="0" w:tplc="76144D00">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
    <w:nsid w:val="51056D59"/>
    <w:multiLevelType w:val="hybridMultilevel"/>
    <w:tmpl w:val="5156D800"/>
    <w:lvl w:ilvl="0" w:tplc="15BAF1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5264F70"/>
    <w:multiLevelType w:val="hybridMultilevel"/>
    <w:tmpl w:val="66CADB5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7E61"/>
    <w:rsid w:val="00005F95"/>
    <w:rsid w:val="00015AA0"/>
    <w:rsid w:val="0002566C"/>
    <w:rsid w:val="00026CA3"/>
    <w:rsid w:val="00027E61"/>
    <w:rsid w:val="000618FB"/>
    <w:rsid w:val="00064B56"/>
    <w:rsid w:val="000B4A11"/>
    <w:rsid w:val="000D6053"/>
    <w:rsid w:val="00120F11"/>
    <w:rsid w:val="00147182"/>
    <w:rsid w:val="0015641D"/>
    <w:rsid w:val="0019342C"/>
    <w:rsid w:val="001B0312"/>
    <w:rsid w:val="001C004B"/>
    <w:rsid w:val="002466F7"/>
    <w:rsid w:val="002C75F8"/>
    <w:rsid w:val="002D293F"/>
    <w:rsid w:val="003205CC"/>
    <w:rsid w:val="0033173F"/>
    <w:rsid w:val="0034260D"/>
    <w:rsid w:val="0034438C"/>
    <w:rsid w:val="003602F7"/>
    <w:rsid w:val="00386194"/>
    <w:rsid w:val="0039692B"/>
    <w:rsid w:val="003D6591"/>
    <w:rsid w:val="003D7AD1"/>
    <w:rsid w:val="003F165F"/>
    <w:rsid w:val="003F1FF8"/>
    <w:rsid w:val="003F6E4E"/>
    <w:rsid w:val="00405C74"/>
    <w:rsid w:val="00435490"/>
    <w:rsid w:val="00440A31"/>
    <w:rsid w:val="00446530"/>
    <w:rsid w:val="004A5D40"/>
    <w:rsid w:val="004D1A33"/>
    <w:rsid w:val="00516AB5"/>
    <w:rsid w:val="00517B77"/>
    <w:rsid w:val="00526407"/>
    <w:rsid w:val="005313C4"/>
    <w:rsid w:val="00563517"/>
    <w:rsid w:val="00596D91"/>
    <w:rsid w:val="005B4860"/>
    <w:rsid w:val="005C2262"/>
    <w:rsid w:val="005E476C"/>
    <w:rsid w:val="0060664E"/>
    <w:rsid w:val="006125F6"/>
    <w:rsid w:val="00656AEA"/>
    <w:rsid w:val="006A36F9"/>
    <w:rsid w:val="006A4477"/>
    <w:rsid w:val="006A6D96"/>
    <w:rsid w:val="006C36DC"/>
    <w:rsid w:val="006E4FBF"/>
    <w:rsid w:val="006F0AE0"/>
    <w:rsid w:val="006F0C43"/>
    <w:rsid w:val="00710972"/>
    <w:rsid w:val="00710DDF"/>
    <w:rsid w:val="00722A89"/>
    <w:rsid w:val="00766CE3"/>
    <w:rsid w:val="0077094B"/>
    <w:rsid w:val="007773EA"/>
    <w:rsid w:val="007B2D35"/>
    <w:rsid w:val="007C7027"/>
    <w:rsid w:val="00803D9D"/>
    <w:rsid w:val="008315BE"/>
    <w:rsid w:val="008424FF"/>
    <w:rsid w:val="00862910"/>
    <w:rsid w:val="00877EBD"/>
    <w:rsid w:val="00881861"/>
    <w:rsid w:val="00897002"/>
    <w:rsid w:val="008A409C"/>
    <w:rsid w:val="008A58B6"/>
    <w:rsid w:val="008D1379"/>
    <w:rsid w:val="008D45C9"/>
    <w:rsid w:val="00925B8F"/>
    <w:rsid w:val="00946FED"/>
    <w:rsid w:val="009626C9"/>
    <w:rsid w:val="009834D9"/>
    <w:rsid w:val="009A5C72"/>
    <w:rsid w:val="009B421C"/>
    <w:rsid w:val="009C01B1"/>
    <w:rsid w:val="009D6CF7"/>
    <w:rsid w:val="00A0724F"/>
    <w:rsid w:val="00A14DCD"/>
    <w:rsid w:val="00A534C3"/>
    <w:rsid w:val="00AB3D3D"/>
    <w:rsid w:val="00AD1412"/>
    <w:rsid w:val="00AD179C"/>
    <w:rsid w:val="00AD3F83"/>
    <w:rsid w:val="00B12126"/>
    <w:rsid w:val="00B14A52"/>
    <w:rsid w:val="00B40834"/>
    <w:rsid w:val="00B41D19"/>
    <w:rsid w:val="00B51879"/>
    <w:rsid w:val="00BB0969"/>
    <w:rsid w:val="00BB71F8"/>
    <w:rsid w:val="00C002A5"/>
    <w:rsid w:val="00C04AC0"/>
    <w:rsid w:val="00C70D68"/>
    <w:rsid w:val="00CB6BFE"/>
    <w:rsid w:val="00CC43C6"/>
    <w:rsid w:val="00D23932"/>
    <w:rsid w:val="00D855FA"/>
    <w:rsid w:val="00DB7777"/>
    <w:rsid w:val="00DC27F5"/>
    <w:rsid w:val="00DD3C43"/>
    <w:rsid w:val="00DE08E9"/>
    <w:rsid w:val="00E65DF1"/>
    <w:rsid w:val="00E84383"/>
    <w:rsid w:val="00EB5550"/>
    <w:rsid w:val="00EE2A21"/>
    <w:rsid w:val="00F23ECB"/>
    <w:rsid w:val="00F267D1"/>
    <w:rsid w:val="00F26B09"/>
    <w:rsid w:val="00F808C0"/>
    <w:rsid w:val="00FC718F"/>
    <w:rsid w:val="00FE36B9"/>
    <w:rsid w:val="00FE6E5B"/>
    <w:rsid w:val="00FF5133"/>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CD"/>
    <w:rPr>
      <w:rFonts w:ascii="Arial" w:hAnsi="Arial"/>
      <w:sz w:val="24"/>
      <w:lang w:val="en-US" w:eastAsia="en-US"/>
    </w:rPr>
  </w:style>
  <w:style w:type="paragraph" w:styleId="Heading1">
    <w:name w:val="heading 1"/>
    <w:basedOn w:val="Normal"/>
    <w:next w:val="Normal"/>
    <w:link w:val="Heading1Char"/>
    <w:qFormat/>
    <w:rsid w:val="00A53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 w:type="character" w:customStyle="1" w:styleId="Heading1Char">
    <w:name w:val="Heading 1 Char"/>
    <w:basedOn w:val="DefaultParagraphFont"/>
    <w:link w:val="Heading1"/>
    <w:rsid w:val="00A534C3"/>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rsid w:val="00147182"/>
    <w:rPr>
      <w:color w:val="0000FF" w:themeColor="hyperlink"/>
      <w:u w:val="single"/>
    </w:rPr>
  </w:style>
  <w:style w:type="character" w:customStyle="1" w:styleId="PlainTextChar">
    <w:name w:val="Plain Text Char"/>
    <w:basedOn w:val="DefaultParagraphFont"/>
    <w:link w:val="PlainText"/>
    <w:rsid w:val="00AB3D3D"/>
    <w:rPr>
      <w:rFonts w:ascii="Courier New" w:hAnsi="Courier New"/>
      <w:lang w:eastAsia="en-US"/>
    </w:rPr>
  </w:style>
  <w:style w:type="paragraph" w:styleId="ListParagraph">
    <w:name w:val="List Paragraph"/>
    <w:basedOn w:val="Normal"/>
    <w:uiPriority w:val="34"/>
    <w:qFormat/>
    <w:rsid w:val="003F6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CD"/>
    <w:rPr>
      <w:rFonts w:ascii="Arial" w:hAnsi="Arial"/>
      <w:sz w:val="24"/>
      <w:lang w:val="en-US" w:eastAsia="en-US"/>
    </w:rPr>
  </w:style>
  <w:style w:type="paragraph" w:styleId="Heading9">
    <w:name w:val="heading 9"/>
    <w:basedOn w:val="Normal"/>
    <w:next w:val="Normal"/>
    <w:qFormat/>
    <w:rsid w:val="00A14DCD"/>
    <w:pPr>
      <w:keepNext/>
      <w:ind w:left="2160" w:hanging="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14DCD"/>
    <w:rPr>
      <w:rFonts w:ascii="Courier New" w:hAnsi="Courier New"/>
      <w:sz w:val="20"/>
      <w:lang w:val="en-AU"/>
    </w:rPr>
  </w:style>
  <w:style w:type="paragraph" w:styleId="Header">
    <w:name w:val="header"/>
    <w:basedOn w:val="Normal"/>
    <w:rsid w:val="00A14DCD"/>
    <w:pPr>
      <w:tabs>
        <w:tab w:val="center" w:pos="4320"/>
        <w:tab w:val="right" w:pos="8640"/>
      </w:tabs>
    </w:pPr>
  </w:style>
  <w:style w:type="paragraph" w:styleId="Footer">
    <w:name w:val="footer"/>
    <w:basedOn w:val="Normal"/>
    <w:rsid w:val="00A14DC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Template%20for%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50778-27FB-429D-9F50-63D4D712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Report.dotx</Template>
  <TotalTime>42</TotalTime>
  <Pages>3</Pages>
  <Words>698</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vt:lpstr>
    </vt:vector>
  </TitlesOfParts>
  <Company>Deniliquin Council</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Des Bilske</dc:creator>
  <cp:lastModifiedBy>julie.rogers</cp:lastModifiedBy>
  <cp:revision>5</cp:revision>
  <cp:lastPrinted>2015-06-18T23:08:00Z</cp:lastPrinted>
  <dcterms:created xsi:type="dcterms:W3CDTF">2016-02-01T04:10:00Z</dcterms:created>
  <dcterms:modified xsi:type="dcterms:W3CDTF">2016-02-10T01:43:00Z</dcterms:modified>
</cp:coreProperties>
</file>